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58</w:t>
      </w:r>
    </w:p>
    <w:p>
      <w:r>
        <w:t>Bundesgericht (BGE), 2005-11-08, FR</w:t>
      </w:r>
    </w:p>
    <w:p>
      <w:r>
        <w:rPr>
          <w:b/>
        </w:rPr>
        <w:t xml:space="preserve">Quelle: </w:t>
      </w:r>
      <w:r>
        <w:t>https://mcp.opencaselaw.ch/entscheid/bge_133 II 58</w:t>
      </w:r>
    </w:p>
    <w:p>
      <w:r>
        <w:t>FR: ATF 133 II 58</w:t>
      </w:r>
    </w:p>
    <w:p>
      <w:r>
        <w:t>IT: DTF 133 II 58</w:t>
      </w:r>
    </w:p>
    <w:p>
      <w:pPr>
        <w:pStyle w:val="Heading2"/>
      </w:pPr>
      <w:r>
        <w:t>Regeste</w:t>
      </w:r>
    </w:p>
    <w:p>
      <w:r>
        <w:t>Regeste Art. 16a Abs. 1 lit. a und Art. 16b Abs. 1 lit. a SVG; Art. 35 Abs. 1 SVG und Art. 36 Abs. 3 VRV; Dauer des Führerausweisentzugs; Rechtsüberholen auf dem Pannenstreifen. Das Rechtsüberholen auf dem Pannenstreifen einer Kolonne langsam fahrender Fahrzeuge stellt eine mittelschwere Widerhandlung dar, welche zu einem mindestens einmonatigen Führerausweisentzug führt (E. 5).</w:t>
      </w:r>
    </w:p>
    <w:p>
      <w:pPr>
        <w:pStyle w:val="Heading2"/>
      </w:pPr>
      <w:r>
        <w:t>Erwägungen</w:t>
      </w:r>
    </w:p>
    <w:p>
      <w:r>
        <w:rPr>
          <w:b/>
        </w:rPr>
        <w:t>E. 4</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126 IV 192 consid. 2a p. 194; ATF 115 IV 244 consid. 2; ATF 114 IV 55 consid. 1). Il n'en va différemment que lorsqu'il s'agit, sur route (art. 8 al. 3 de l'ordonnance du 13 novembre 1962 sur les règles de la circulation routière [OCR; RS 741.11]) ou sur autoroute ( art. 36 al. 5 let. a OCR ),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 art. 44 al. 1 LCR ).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 ATF 126 IV 192 consid. 2a p. 194 s.; ATF 115 IV 244 consid. 2 et 3). Il n'y a toutefois lieu de distinguer de la sorte qu'en présence de voies de circulation BGE 133 II 58 S. 60 distinctes permettant la circulation en files parallèles. Cette distinction ne trouve, partant, pas application lorsque, comme en l'espèce, la voie empruntée pour devancer d'autres véhicules est la bande d'arrêt d'urgence, qui ne constitue pas une voie de circulation, mais uniquement une partie de la voie de circulation qui ne peut être utilisée que dans les conditions prévues par l' art. 36 al. 3 OCR ( ATF 114 IV 55 consid. 2c p. 57). En l'espèce et au regard de ces principes, dont il n'y a pas lieu de s'écarter, la manoeuvre opérée par l'intimé ne peut être qualifiée que comme un dépassement par la droite ( ATF 114 IV 55 , précité). C'est en vain que l'intimé souligne dans ses observations que son intention n'était pas de gagner quelques places dans la file, mais bien de quitter l'autoroute. Ce comportement, quelle qu'ait pu être l'intention première de l'intéressé, viole par ailleurs également l'interdiction d'utiliser la bande d'arrêt d'urgence hors des cas prévus par la réglementation fédérale ( art. 36 al. 3 OCR ). Il s'agit dès lors uniquement d'examiner si, sur le plan administratif, l'infraction commise constitue un cas de peu de gravité susceptible d'un simple avertissement, comme l'a retenu la cour cantonale, ou si elle doit être sanctionnée d'un retrait de permis, comme le soutient l'office recourant.</w:t>
      </w:r>
    </w:p>
    <w:p>
      <w:r>
        <w:rPr>
          <w:b/>
        </w:rPr>
        <w:t>E. 5.1</w:t>
      </w:r>
    </w:p>
    <w:p>
      <w:r>
        <w:t>Conformément à l' art. 16a al. 1 let. a LCR ,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Commet, en revanche, une infraction moyennement grave la personne qui, en violant les règles de la circulation, crée un danger pour la sécurité d'autrui ou en prend le risque ( art. 16b al. 1 let. a LCR ). Après une infraction moyennement grave, le permis d'élève conducteur ou le permis de conduire est retiré pour un mois au minimum (al. 2 let. a). BGE 133 II 58 S. 61</w:t>
      </w:r>
    </w:p>
    <w:p>
      <w:r>
        <w:rPr>
          <w:b/>
        </w:rPr>
        <w:t>E. 5.2</w:t>
      </w:r>
    </w:p>
    <w:p>
      <w:r>
        <w:t>Dans un arrêt récent, auquel se réfère l'office recourant, la cour de céans a jugé que la faute commise par un motard qui, le soir, a emprunté dans les mêmes circonstances que l'intimé la bande d'arrêt d'urgence sur une distance d'un kilomètre, pour remonter par la droite jusqu'à la prochaine sortie de l'autoroute la colonne des autres usagers très ralentie en raison de travaux effectués dans le tunnel de Glion, ne pouvait plus, ni subjectivement ni objectivement, être qualifiée de légère, même s'il ne roulait qu'à une vitesse de l'ordre de 10 km/h. La cour de céans a, en particulier, relevé que, sous réserve des exceptions déjà mentionnées, l'interdiction de dépasser par la droite constituait une règle élémentaire de la circulation qui, parce qu'elle vise la sécurité de la circulation et son bon déroulement, doit être impérativement respectée. Elle a également souligné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(arrêt 6A.22/2005 du 31 mai 2005).</w:t>
      </w:r>
    </w:p>
    <w:p>
      <w:r>
        <w:rPr>
          <w:b/>
        </w:rPr>
        <w:t>E. 5.3</w:t>
      </w:r>
    </w:p>
    <w:p>
      <w:r>
        <w:t>Il n'y a en l'espèce, contrairement à l'opinion de la cour cantonale, aucune raison de qualifier différemment la faute de l'intimé, qui n'apparaît donc pas bénigne. Ni sa vitesse au moment des faits, qui est du reste comparable à celle du motard dans le cas précité, ni la distance parcourue en infraction, ni même le type de véhicule conduit ne font apparaître moins important ou immédiat le risque ainsi créé, qui peut se réaliser à tout instant. On peut, du reste, d'autant exiger du conducteur qui désire quitter l'autoroute qu'il s'abstienne d'utiliser la bande d'arrêt d'urgence que la sortie en est plus proche et l'attente restante, en conséquence, moins longue, si bien que l'on ne peut, quant à l'appréciation de la faute, accorder une importance déterminante à la distance parcourue qui n'est, en l'espèce, au demeurant pas négligeable. On ne peut, par ailleurs, méconnaître que la généralisation de ce comportement dans les nombreux ralentissements que l'on rencontre sur les autoroutes aussi bien lors de travaux dans des tunnels qu'en cas de travaux de rénovation des revêtements et des ouvrages d'art, n'a pas pour seule conséquence que certains automobilistes roulant normalement dans la file ralentie peuvent être surpris BGE 133 II 58 S. 62 par un automobiliste les dépassant par la droite, mais provoque, ce qui n'est pas rare, un engorgement de la bande d'arrêt d'urgence elle-même. Cette situation rend ainsi impossible, notamment, le dégagement des voies de circulation au bénéfice des véhicules prioritaires des services de police, de santé et du feu ( art. 27 al. 2 LCR ). A cela s'ajoute que ce comportement - qui ne constitue pas une simple peccadille et dénote en outre un singulier manque d'égard et de courtoisie envers les usagers de la route qui respectent la réglementation et s'en trouvent en définitive pénalisés par une attente prolongée - crée un risque supplémentaire d'accrochages à la jonction de la bande d'arrêt d'urgence et de la voie de sortie d'autoroute, en raison de la confusion induite dans le règlement des priorités lorsque convergent à la sortie de l'autoroute les automobilistes quittant normalement cette dernière et ceux, arrivant sur leur droite, qui empruntent de manière illicite la bande d'arrêt d'urgence. Aussi, l'intimé ne peut-il rien déduire en sa faveur du fait que près de 2000 personnes ont été interpellées dans les mêmes circonstances que lui, comme, il le souligne dans ses observations. Le nombre élevé des contrevenants tend, au contraire, très clairement à démontrer la nécessité de rappeler le caractère essentiel pour la sécurité du trafic des règles ainsi violées.</w:t>
      </w:r>
    </w:p>
    <w:p>
      <w:r>
        <w:rPr>
          <w:b/>
        </w:rPr>
        <w:t>E. 5.4</w:t>
      </w:r>
    </w:p>
    <w:p>
      <w:r>
        <w:t>Il est vrai que dans certaines circonstances la bande d'arrêt d'urgence peut être ouverte au trafic et constitue alors une voie de circulation à part entière. Il peut notamment en aller ainsi en cas d'accidents ou de bouchons aux environs de travaux. Cette dérogation à la règle de l' art. 36 al. 3 OCR doit cependant demeurer exceptionnelle. Hors des cas où elle est imposée immédiatement par l'arrivée d'un véhicule d'urgence prioritaire dûment signalé ( art. 27 al. 2 LCR ), elle doit faire l'objet d'instructions claires données par les forces de l'ordre (art. 67 de l'ordonnance du 5 septembre 1979 sur la signalisation routière [OSR; RS 741.21]) ou, le cas échéant si la situation est appelée à se prolonger, par une signalisation, un marquage voire un balisage adéquat au sol ( art. 80 ss OSR ). De telles circonstances ne sont pas établies en l'espèce. En l'absence de toute indication de ce type, l'utilisation de la bande d'arrêt d'urgence demeure, en revanche, soumise aux conditions restrictives prévues par l' art. 36 al. 3 OCR et le fait de l'emprunter pour remonter la file des autres automobilistes constitue un dépassement par la droite prohibé (v. supra consid. 4). A cet égard, un simple panneau de déviation installé par exemple à l'occasion d'une manifestation (en l'espèce pour le Montreux Jazz Festival), faute de toute autre indication spécifique ou marquage BGE 133 II 58 S. 63 particulier, ne peut en aucun cas être interprété comme une dérogation à ces règles. Une erreur de ce type, même si elle devait être retenue, procéderait, dans le meilleur des cas, d'une confusion telle quant à la portée des signalisations prévues par l'OSR qu'elle constituerait une grave négligence et n'en ferait pas apparaître pour autant comme bénigne la faute de l'intimé. Il s'ensuit que ce dernier ne pouvait, quoi qu'il en soit, rien déduire en sa faveur de la présence d'un tel panneau en relation avec laquelle il a requis de la cour cantonale des mesures d'instruction. Il n'y a, partant, pas lieu de renvoyer la cause à la cour cantonale pour qu'elle complète l'état de fait sur la question de la localisation exacte de ce panneau, qu'elle a laissée indécise.</w:t>
      </w:r>
    </w:p>
    <w:p>
      <w:r>
        <w:rPr>
          <w:b/>
        </w:rPr>
        <w:t>E. 5.5</w:t>
      </w:r>
    </w:p>
    <w:p>
      <w:r>
        <w:t>Il résulte de ce qui précède que la faute commise par l'intimé ne peut être qualifiée de bénigne au sens de l' art. 16a al. 1 let. a LCR , si bien que l'infraction est moyennement grave au sens de l' art. 16b al. 1 let. a LCR ), le risque créé pour la circulation n'apparaissant, par ailleurs, pas non plus particulièrement léger. L'arrêt cantonal, qui sanctionne son comportement d'un simple avertissement viole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